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3A9D9" w14:textId="4DC1FDEA" w:rsidR="007C007C" w:rsidRPr="00AD5DB7" w:rsidRDefault="007C007C" w:rsidP="007C007C">
      <w:pPr>
        <w:widowControl/>
        <w:jc w:val="left"/>
        <w:textAlignment w:val="bottom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D5DB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Table </w:t>
      </w:r>
      <w:proofErr w:type="spellStart"/>
      <w:r w:rsidRPr="00AD5DB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S</w:t>
      </w:r>
      <w:r w:rsidR="0090045D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2</w:t>
      </w:r>
      <w:proofErr w:type="spellEnd"/>
      <w:r w:rsidRPr="00AD5DB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62DC3" w:rsidRPr="00262DC3">
        <w:rPr>
          <w:rFonts w:ascii="Times New Roman" w:hAnsi="Times New Roman" w:cs="Times New Roman"/>
          <w:color w:val="000000" w:themeColor="text1"/>
          <w:sz w:val="20"/>
          <w:szCs w:val="20"/>
        </w:rPr>
        <w:t>The description and GO annotation of the gene with 1 Mb upstream and downstream of the significant SNP.</w:t>
      </w:r>
    </w:p>
    <w:tbl>
      <w:tblPr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1498"/>
        <w:gridCol w:w="3181"/>
        <w:gridCol w:w="6378"/>
      </w:tblGrid>
      <w:tr w:rsidR="00AD5DB7" w:rsidRPr="00AD5DB7" w14:paraId="58BB2DDC" w14:textId="77777777" w:rsidTr="00996B48">
        <w:trPr>
          <w:trHeight w:hRule="exact" w:val="370"/>
          <w:jc w:val="center"/>
        </w:trPr>
        <w:tc>
          <w:tcPr>
            <w:tcW w:w="149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0907EF48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0"/>
                <w:szCs w:val="20"/>
              </w:rPr>
              <w:t>Genes</w:t>
            </w:r>
          </w:p>
        </w:tc>
        <w:tc>
          <w:tcPr>
            <w:tcW w:w="318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107363F7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0"/>
                <w:szCs w:val="20"/>
              </w:rPr>
              <w:t>Descriptions</w:t>
            </w:r>
          </w:p>
        </w:tc>
        <w:tc>
          <w:tcPr>
            <w:tcW w:w="637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bottom"/>
          </w:tcPr>
          <w:p w14:paraId="35CEC729" w14:textId="1AA4504F" w:rsidR="007C007C" w:rsidRPr="00AD5DB7" w:rsidRDefault="00482421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0"/>
                <w:szCs w:val="20"/>
              </w:rPr>
              <w:t>GO</w:t>
            </w:r>
            <w:r w:rsidR="007C007C" w:rsidRPr="00AD5DB7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7C007C" w:rsidRPr="00AD5DB7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0"/>
                <w:szCs w:val="20"/>
              </w:rPr>
              <w:t>annotation</w:t>
            </w:r>
            <w:r w:rsidR="007C007C" w:rsidRPr="00AD5DB7">
              <w:rPr>
                <w:rFonts w:ascii="Times New Roman" w:eastAsia="宋体" w:hAnsi="Times New Roman" w:cs="Times New Roman"/>
                <w:b/>
                <w:bCs/>
                <w:color w:val="000000" w:themeColor="text1"/>
                <w:sz w:val="20"/>
                <w:szCs w:val="20"/>
                <w:vertAlign w:val="superscript"/>
              </w:rPr>
              <w:t>1</w:t>
            </w:r>
            <w:proofErr w:type="spellEnd"/>
          </w:p>
        </w:tc>
      </w:tr>
      <w:tr w:rsidR="00AD5DB7" w:rsidRPr="00AD5DB7" w14:paraId="58556E63" w14:textId="77777777" w:rsidTr="00996B48">
        <w:trPr>
          <w:trHeight w:hRule="exact" w:val="716"/>
          <w:jc w:val="center"/>
        </w:trPr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63D9BA" w14:textId="72C37795" w:rsidR="007C007C" w:rsidRPr="00AD5DB7" w:rsidRDefault="00702200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eastAsia="宋体" w:hAnsi="Times New Roman" w:cs="Times New Roman" w:hint="eastAsia"/>
                <w:i/>
                <w:iCs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  <w:t>CT1</w:t>
            </w:r>
            <w:proofErr w:type="spellEnd"/>
          </w:p>
          <w:p w14:paraId="2CA4A770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43B8389F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0D6109CD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5EC1AF60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4771CEAA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741232F6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7939F416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3F55DF69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5C689CE1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1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72579F" w14:textId="788C93B5" w:rsidR="007C007C" w:rsidRPr="00AD5DB7" w:rsidRDefault="009A2F58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M</w:t>
            </w:r>
            <w:r w:rsidR="00FC575D" w:rsidRPr="00FC575D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onocarboxylate transporter 1</w:t>
            </w:r>
          </w:p>
          <w:p w14:paraId="66983D82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797CA0C1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3D3007F8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76AE98AC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2323E7B0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337BFF50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37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FE78A1" w14:textId="0612A162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BP: </w:t>
            </w:r>
            <w:r w:rsidR="00BD709F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Organic hydroxy compound transport</w:t>
            </w: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BD709F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GO:0015850</w:t>
            </w:r>
            <w:proofErr w:type="spellEnd"/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); MF: </w:t>
            </w:r>
            <w:r w:rsidR="000A17A2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Lactate transmembrane transporter activity (</w:t>
            </w:r>
            <w:proofErr w:type="spellStart"/>
            <w:r w:rsidR="000A17A2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GO:0015129</w:t>
            </w:r>
            <w:proofErr w:type="spellEnd"/>
            <w:r w:rsidR="000A17A2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="006F0F8E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5B6686C9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074DC61C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4DB5C1AA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50D37804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5BB00273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0A5ADD2F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5AE3FAA9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77141423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5DB7" w:rsidRPr="00AD5DB7" w14:paraId="6E3D71BB" w14:textId="77777777" w:rsidTr="00996B48">
        <w:trPr>
          <w:trHeight w:hRule="exact" w:val="988"/>
          <w:jc w:val="center"/>
        </w:trPr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78A68D" w14:textId="2948FD84" w:rsidR="007C007C" w:rsidRPr="00AD5DB7" w:rsidRDefault="00453D48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AD5DB7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  <w:t>CHCHD3</w:t>
            </w:r>
            <w:proofErr w:type="spellEnd"/>
          </w:p>
          <w:p w14:paraId="0F9A6038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6BD68AA6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  <w:p w14:paraId="2091F792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318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0A6E63" w14:textId="63FB9E3B" w:rsidR="007C007C" w:rsidRPr="00AD5DB7" w:rsidRDefault="00453D48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Coiled-coil-helix-coiled-coil-helix domain-containing protein 3 membrane </w:t>
            </w:r>
          </w:p>
        </w:tc>
        <w:tc>
          <w:tcPr>
            <w:tcW w:w="637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9935E" w14:textId="3A7D310B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BP: </w:t>
            </w:r>
            <w:r w:rsidR="00AF3295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Protein insertion into mitochondrial outer membrane(</w:t>
            </w:r>
            <w:proofErr w:type="spellStart"/>
            <w:r w:rsidR="00000000">
              <w:fldChar w:fldCharType="begin"/>
            </w:r>
            <w:r w:rsidR="00000000">
              <w:instrText>HYPERLINK "http://amigo.geneontology.org/amigo/term/GO:0045040" \t "_blank"</w:instrText>
            </w:r>
            <w:r w:rsidR="00000000">
              <w:fldChar w:fldCharType="separate"/>
            </w:r>
            <w:r w:rsidR="00AF3295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GO:0045040</w:t>
            </w:r>
            <w:proofErr w:type="spellEnd"/>
            <w:r w:rsidR="00000000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="00AF3295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; MF: </w:t>
            </w:r>
            <w:r w:rsidR="000675B4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NADH dehydrogenase (ubiquinone) activity (</w:t>
            </w:r>
            <w:proofErr w:type="spellStart"/>
            <w:r w:rsidR="00000000">
              <w:fldChar w:fldCharType="begin"/>
            </w:r>
            <w:r w:rsidR="00000000">
              <w:instrText>HYPERLINK "http://amigo.geneontology.org/amigo/term/GO:0008137" \t "_blank"</w:instrText>
            </w:r>
            <w:r w:rsidR="00000000">
              <w:fldChar w:fldCharType="separate"/>
            </w:r>
            <w:r w:rsidR="00427616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GO:0008137</w:t>
            </w:r>
            <w:proofErr w:type="spellEnd"/>
            <w:r w:rsidR="00000000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="000675B4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;</w:t>
            </w:r>
            <w:r w:rsidR="00427616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CC: </w:t>
            </w:r>
            <w:r w:rsidR="00427616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br/>
              <w:t>SAM complex (</w:t>
            </w:r>
            <w:proofErr w:type="spellStart"/>
            <w:r w:rsidR="00000000">
              <w:fldChar w:fldCharType="begin"/>
            </w:r>
            <w:r w:rsidR="00000000">
              <w:instrText>HYPERLINK "http://amigo.geneontology.org/amigo/term/GO:0001401" \t "_blank"</w:instrText>
            </w:r>
            <w:r w:rsidR="00000000">
              <w:fldChar w:fldCharType="separate"/>
            </w:r>
            <w:r w:rsidR="00427616" w:rsidRPr="00AD5DB7">
              <w:rPr>
                <w:rFonts w:ascii="Times New Roman" w:eastAsia="宋体" w:hAnsi="Times New Roman" w:cs="Times New Roman"/>
                <w:color w:val="000000" w:themeColor="text1"/>
              </w:rPr>
              <w:t>GO:0001401</w:t>
            </w:r>
            <w:proofErr w:type="spellEnd"/>
            <w:r w:rsidR="00000000">
              <w:rPr>
                <w:rFonts w:ascii="Times New Roman" w:eastAsia="宋体" w:hAnsi="Times New Roman" w:cs="Times New Roman"/>
                <w:color w:val="000000" w:themeColor="text1"/>
              </w:rPr>
              <w:fldChar w:fldCharType="end"/>
            </w:r>
            <w:r w:rsidR="00427616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);</w:t>
            </w:r>
          </w:p>
          <w:p w14:paraId="53D78152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0D891084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5E4B56BE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  <w:p w14:paraId="0B4B991C" w14:textId="77777777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5DB7" w:rsidRPr="00AD5DB7" w14:paraId="33B46772" w14:textId="77777777" w:rsidTr="00B82D77">
        <w:trPr>
          <w:trHeight w:hRule="exact" w:val="705"/>
          <w:jc w:val="center"/>
        </w:trPr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noWrap/>
          </w:tcPr>
          <w:p w14:paraId="44C52E4C" w14:textId="470DE0EA" w:rsidR="007C007C" w:rsidRPr="00AD5DB7" w:rsidRDefault="003D0FFB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AD5DB7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  <w:t>NUCKS1</w:t>
            </w:r>
            <w:proofErr w:type="spellEnd"/>
          </w:p>
        </w:tc>
        <w:tc>
          <w:tcPr>
            <w:tcW w:w="3181" w:type="dxa"/>
            <w:tcBorders>
              <w:tl2br w:val="nil"/>
              <w:tr2bl w:val="nil"/>
            </w:tcBorders>
            <w:shd w:val="clear" w:color="auto" w:fill="auto"/>
            <w:noWrap/>
          </w:tcPr>
          <w:p w14:paraId="5B8DE895" w14:textId="6A7D81B1" w:rsidR="007C007C" w:rsidRPr="00AD5DB7" w:rsidRDefault="00FA499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Nuclear casein kinase and cyclin-dependent kinase substrate 1</w:t>
            </w:r>
          </w:p>
        </w:tc>
        <w:tc>
          <w:tcPr>
            <w:tcW w:w="6378" w:type="dxa"/>
            <w:tcBorders>
              <w:tl2br w:val="nil"/>
              <w:tr2bl w:val="nil"/>
            </w:tcBorders>
            <w:shd w:val="clear" w:color="auto" w:fill="auto"/>
            <w:noWrap/>
          </w:tcPr>
          <w:p w14:paraId="70EF9F05" w14:textId="4728E387" w:rsidR="007C007C" w:rsidRPr="00AD5DB7" w:rsidRDefault="009B4107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BP: </w:t>
            </w:r>
            <w:proofErr w:type="spellStart"/>
            <w:r w:rsidR="003443EB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interstrand</w:t>
            </w:r>
            <w:proofErr w:type="spellEnd"/>
            <w:r w:rsidR="003443EB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cross-link repair</w:t>
            </w:r>
            <w:r w:rsidR="00A43AFD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443EB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3443EB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GO:0036297</w:t>
            </w:r>
            <w:proofErr w:type="spellEnd"/>
            <w:r w:rsidR="003443EB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); </w:t>
            </w:r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CC: </w:t>
            </w:r>
            <w:r w:rsidR="00965775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cytoplasm</w:t>
            </w:r>
            <w:r w:rsidR="0049175F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="00965775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GO:0005737</w:t>
            </w:r>
            <w:proofErr w:type="spellEnd"/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); </w:t>
            </w:r>
            <w:r w:rsidR="00996B48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MF: </w:t>
            </w:r>
            <w:r w:rsidR="00965775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single-stranded DNA binding (</w:t>
            </w:r>
            <w:proofErr w:type="spellStart"/>
            <w:r w:rsidR="00965775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GO:0003697</w:t>
            </w:r>
            <w:proofErr w:type="spellEnd"/>
            <w:r w:rsidR="00965775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);</w:t>
            </w:r>
          </w:p>
        </w:tc>
      </w:tr>
      <w:tr w:rsidR="00AD5DB7" w:rsidRPr="00AD5DB7" w14:paraId="3FB3260E" w14:textId="77777777" w:rsidTr="002A514E">
        <w:trPr>
          <w:trHeight w:hRule="exact" w:val="998"/>
          <w:jc w:val="center"/>
        </w:trPr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noWrap/>
          </w:tcPr>
          <w:p w14:paraId="648CE713" w14:textId="681FBF52" w:rsidR="007C007C" w:rsidRPr="00AD5DB7" w:rsidRDefault="00963ABA" w:rsidP="00963ABA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AD5DB7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  <w:t>SLC10A2</w:t>
            </w:r>
            <w:proofErr w:type="spellEnd"/>
          </w:p>
        </w:tc>
        <w:tc>
          <w:tcPr>
            <w:tcW w:w="3181" w:type="dxa"/>
            <w:tcBorders>
              <w:tl2br w:val="nil"/>
              <w:tr2bl w:val="nil"/>
            </w:tcBorders>
            <w:shd w:val="clear" w:color="auto" w:fill="auto"/>
            <w:noWrap/>
          </w:tcPr>
          <w:p w14:paraId="0C89A28A" w14:textId="1C5FB9FA" w:rsidR="007C007C" w:rsidRPr="00AD5DB7" w:rsidRDefault="002A514E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Solute carrier family 10 (sodium/bile acid cotransporter), member 2;</w:t>
            </w:r>
          </w:p>
        </w:tc>
        <w:tc>
          <w:tcPr>
            <w:tcW w:w="6378" w:type="dxa"/>
            <w:tcBorders>
              <w:tl2br w:val="nil"/>
              <w:tr2bl w:val="nil"/>
            </w:tcBorders>
            <w:shd w:val="clear" w:color="auto" w:fill="auto"/>
            <w:noWrap/>
          </w:tcPr>
          <w:p w14:paraId="65F6E0CD" w14:textId="77777777" w:rsidR="00DA0D87" w:rsidRPr="00AD5DB7" w:rsidRDefault="007C007C" w:rsidP="00DA0D87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BP: </w:t>
            </w:r>
            <w:r w:rsidR="00DA0D87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Regulation of bile acid metabolic process (</w:t>
            </w:r>
            <w:proofErr w:type="spellStart"/>
            <w:r w:rsidR="00000000">
              <w:fldChar w:fldCharType="begin"/>
            </w:r>
            <w:r w:rsidR="00000000">
              <w:instrText>HYPERLINK "http://amigo.geneontology.org/amigo/term/GO:1904251" \t "_blank"</w:instrText>
            </w:r>
            <w:r w:rsidR="00000000">
              <w:fldChar w:fldCharType="separate"/>
            </w:r>
            <w:r w:rsidR="00DA0D87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GO:1904251</w:t>
            </w:r>
            <w:proofErr w:type="spellEnd"/>
            <w:r w:rsidR="00000000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="00DA0D87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)</w:t>
            </w: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; MF: </w:t>
            </w:r>
            <w:r w:rsidR="00DA0D87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ab/>
            </w:r>
          </w:p>
          <w:p w14:paraId="172D4B6C" w14:textId="113419C0" w:rsidR="007C007C" w:rsidRPr="00AD5DB7" w:rsidRDefault="00DA0D87" w:rsidP="00DA0D87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Bile acid transmembrane transporter activity</w:t>
            </w:r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GO:0015125</w:t>
            </w:r>
            <w:proofErr w:type="spellEnd"/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);</w:t>
            </w: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AD5DB7" w:rsidRPr="00AD5DB7" w14:paraId="5DF6BBFA" w14:textId="77777777" w:rsidTr="00963ABA">
        <w:trPr>
          <w:trHeight w:hRule="exact" w:val="583"/>
          <w:jc w:val="center"/>
        </w:trPr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noWrap/>
          </w:tcPr>
          <w:p w14:paraId="4A1B606E" w14:textId="3D0A44F5" w:rsidR="007C007C" w:rsidRPr="00AD5DB7" w:rsidRDefault="00463F60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AD5DB7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  <w:t>VIPR2</w:t>
            </w:r>
            <w:proofErr w:type="spellEnd"/>
          </w:p>
        </w:tc>
        <w:tc>
          <w:tcPr>
            <w:tcW w:w="3181" w:type="dxa"/>
            <w:tcBorders>
              <w:tl2br w:val="nil"/>
              <w:tr2bl w:val="nil"/>
            </w:tcBorders>
            <w:shd w:val="clear" w:color="auto" w:fill="auto"/>
            <w:noWrap/>
          </w:tcPr>
          <w:p w14:paraId="5653D9AF" w14:textId="127C452B" w:rsidR="007C007C" w:rsidRPr="00AD5DB7" w:rsidRDefault="003B3366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Vasoactive intestinal polypeptide receptor 2</w:t>
            </w:r>
          </w:p>
        </w:tc>
        <w:tc>
          <w:tcPr>
            <w:tcW w:w="6378" w:type="dxa"/>
            <w:tcBorders>
              <w:tl2br w:val="nil"/>
              <w:tr2bl w:val="nil"/>
            </w:tcBorders>
            <w:shd w:val="clear" w:color="auto" w:fill="auto"/>
            <w:noWrap/>
          </w:tcPr>
          <w:p w14:paraId="69D2FB11" w14:textId="7B176815" w:rsidR="007C007C" w:rsidRPr="00AD5DB7" w:rsidRDefault="00E6595F" w:rsidP="00E6595F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BP</w:t>
            </w:r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:</w:t>
            </w: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Hormone secretion</w:t>
            </w:r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GO:0046879</w:t>
            </w:r>
            <w:proofErr w:type="spellEnd"/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);</w:t>
            </w: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MF: Glucagon receptor binding</w:t>
            </w:r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GO:0031769</w:t>
            </w:r>
            <w:proofErr w:type="spellEnd"/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); CC: </w:t>
            </w:r>
            <w:r w:rsidR="008B684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Extracellular space</w:t>
            </w:r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8B684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GO:0005615</w:t>
            </w:r>
            <w:proofErr w:type="spellEnd"/>
            <w:r w:rsidR="007C007C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);</w:t>
            </w:r>
          </w:p>
        </w:tc>
      </w:tr>
      <w:tr w:rsidR="00AD5DB7" w:rsidRPr="00AD5DB7" w14:paraId="4F3525F4" w14:textId="77777777" w:rsidTr="00124CEC">
        <w:trPr>
          <w:trHeight w:hRule="exact" w:val="726"/>
          <w:jc w:val="center"/>
        </w:trPr>
        <w:tc>
          <w:tcPr>
            <w:tcW w:w="1498" w:type="dxa"/>
            <w:tcBorders>
              <w:tl2br w:val="nil"/>
              <w:tr2bl w:val="nil"/>
            </w:tcBorders>
            <w:shd w:val="clear" w:color="auto" w:fill="auto"/>
            <w:noWrap/>
          </w:tcPr>
          <w:p w14:paraId="69769828" w14:textId="0B6E86EF" w:rsidR="007C007C" w:rsidRPr="00AD5DB7" w:rsidRDefault="0032588E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AD5DB7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  <w:t>SMOX</w:t>
            </w:r>
            <w:proofErr w:type="spellEnd"/>
          </w:p>
        </w:tc>
        <w:tc>
          <w:tcPr>
            <w:tcW w:w="3181" w:type="dxa"/>
            <w:tcBorders>
              <w:tl2br w:val="nil"/>
              <w:tr2bl w:val="nil"/>
            </w:tcBorders>
            <w:shd w:val="clear" w:color="auto" w:fill="auto"/>
            <w:noWrap/>
          </w:tcPr>
          <w:p w14:paraId="05B82E1F" w14:textId="280B69FA" w:rsidR="007C007C" w:rsidRPr="00AD5DB7" w:rsidRDefault="00EC376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Spermine oxidase</w:t>
            </w:r>
          </w:p>
        </w:tc>
        <w:tc>
          <w:tcPr>
            <w:tcW w:w="6378" w:type="dxa"/>
            <w:tcBorders>
              <w:tl2br w:val="nil"/>
              <w:tr2bl w:val="nil"/>
            </w:tcBorders>
            <w:shd w:val="clear" w:color="auto" w:fill="auto"/>
            <w:noWrap/>
          </w:tcPr>
          <w:p w14:paraId="4C82C10E" w14:textId="0956EE83" w:rsidR="007C007C" w:rsidRPr="00AD5DB7" w:rsidRDefault="00EC376C" w:rsidP="00FB7B27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BP: Polyamine catabolic process (</w:t>
            </w:r>
            <w:proofErr w:type="spellStart"/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GO:0006598</w:t>
            </w:r>
            <w:proofErr w:type="spellEnd"/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); </w:t>
            </w:r>
            <w:r w:rsidR="00FB7B27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CC: Spermidine binding (</w:t>
            </w:r>
            <w:proofErr w:type="spellStart"/>
            <w:r w:rsidR="00FB7B27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GO:0019809</w:t>
            </w:r>
            <w:proofErr w:type="spellEnd"/>
            <w:r w:rsidR="00FB7B27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);</w:t>
            </w:r>
          </w:p>
        </w:tc>
      </w:tr>
      <w:tr w:rsidR="00AD5DB7" w:rsidRPr="00AD5DB7" w14:paraId="0568BF28" w14:textId="77777777" w:rsidTr="00124CEC">
        <w:trPr>
          <w:trHeight w:hRule="exact" w:val="676"/>
          <w:jc w:val="center"/>
        </w:trPr>
        <w:tc>
          <w:tcPr>
            <w:tcW w:w="1498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4261133A" w14:textId="46F66EFD" w:rsidR="007C007C" w:rsidRPr="00AD5DB7" w:rsidRDefault="0032588E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AD5DB7">
              <w:rPr>
                <w:rFonts w:ascii="Times New Roman" w:eastAsia="宋体" w:hAnsi="Times New Roman" w:cs="Times New Roman"/>
                <w:i/>
                <w:iCs/>
                <w:color w:val="000000" w:themeColor="text1"/>
                <w:sz w:val="20"/>
                <w:szCs w:val="20"/>
              </w:rPr>
              <w:t>GPR1</w:t>
            </w:r>
            <w:proofErr w:type="spellEnd"/>
          </w:p>
        </w:tc>
        <w:tc>
          <w:tcPr>
            <w:tcW w:w="3181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648BDB73" w14:textId="770CB46D" w:rsidR="007C007C" w:rsidRPr="00AD5DB7" w:rsidRDefault="0093689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G-protein coupled receptor 1</w:t>
            </w:r>
          </w:p>
        </w:tc>
        <w:tc>
          <w:tcPr>
            <w:tcW w:w="6378" w:type="dxa"/>
            <w:tcBorders>
              <w:bottom w:val="single" w:sz="8" w:space="0" w:color="auto"/>
            </w:tcBorders>
            <w:shd w:val="clear" w:color="auto" w:fill="auto"/>
            <w:noWrap/>
          </w:tcPr>
          <w:p w14:paraId="646EB027" w14:textId="3F430AED" w:rsidR="007C007C" w:rsidRPr="00AD5DB7" w:rsidRDefault="007C007C" w:rsidP="002C32C6">
            <w:pPr>
              <w:widowControl/>
              <w:jc w:val="left"/>
              <w:textAlignment w:val="bottom"/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</w:pP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BP: </w:t>
            </w:r>
            <w:r w:rsidR="00F34628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 protein-coupled receptor internalization</w:t>
            </w: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(</w:t>
            </w:r>
            <w:proofErr w:type="spellStart"/>
            <w:r w:rsidR="00F34628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GO:0002031</w:t>
            </w:r>
            <w:proofErr w:type="spellEnd"/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); MF: </w:t>
            </w:r>
            <w:r w:rsidR="00F34628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G protein-coupled receptor binding</w:t>
            </w: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 (GO:</w:t>
            </w:r>
            <w:r w:rsidR="00F34628" w:rsidRPr="00AD5DB7">
              <w:rPr>
                <w:color w:val="000000" w:themeColor="text1"/>
              </w:rPr>
              <w:t xml:space="preserve"> </w:t>
            </w:r>
            <w:r w:rsidR="00F34628"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>0001664</w:t>
            </w:r>
            <w:r w:rsidRPr="00AD5DB7">
              <w:rPr>
                <w:rFonts w:ascii="Times New Roman" w:eastAsia="宋体" w:hAnsi="Times New Roman" w:cs="Times New Roman"/>
                <w:color w:val="000000" w:themeColor="text1"/>
                <w:sz w:val="20"/>
                <w:szCs w:val="20"/>
              </w:rPr>
              <w:t xml:space="preserve">); </w:t>
            </w:r>
          </w:p>
        </w:tc>
      </w:tr>
    </w:tbl>
    <w:p w14:paraId="77A6E280" w14:textId="6B9CA220" w:rsidR="006E043B" w:rsidRPr="00AD5DB7" w:rsidRDefault="007C007C">
      <w:pPr>
        <w:rPr>
          <w:color w:val="000000" w:themeColor="text1"/>
          <w:sz w:val="20"/>
          <w:szCs w:val="20"/>
        </w:rPr>
      </w:pPr>
      <w:proofErr w:type="spellStart"/>
      <w:r w:rsidRPr="00AD5DB7">
        <w:rPr>
          <w:rFonts w:ascii="Times New Roman" w:eastAsia="宋体" w:hAnsi="Times New Roman" w:cs="Times New Roman"/>
          <w:color w:val="000000" w:themeColor="text1"/>
          <w:sz w:val="20"/>
          <w:szCs w:val="20"/>
          <w:vertAlign w:val="superscript"/>
        </w:rPr>
        <w:t>1</w:t>
      </w:r>
      <w:r w:rsidRPr="00AD5DB7">
        <w:rPr>
          <w:rFonts w:ascii="Times New Roman" w:eastAsia="宋体" w:hAnsi="Times New Roman" w:cs="Times New Roman"/>
          <w:i/>
          <w:iCs/>
          <w:color w:val="000000" w:themeColor="text1"/>
          <w:sz w:val="20"/>
          <w:szCs w:val="20"/>
        </w:rPr>
        <w:t>BP</w:t>
      </w:r>
      <w:proofErr w:type="spellEnd"/>
      <w:r w:rsidRPr="00AD5DB7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 Biological Process </w:t>
      </w:r>
      <w:r w:rsidRPr="00AD5DB7">
        <w:rPr>
          <w:rFonts w:ascii="Times New Roman" w:eastAsia="宋体" w:hAnsi="Times New Roman" w:cs="Times New Roman"/>
          <w:i/>
          <w:iCs/>
          <w:color w:val="000000" w:themeColor="text1"/>
          <w:sz w:val="20"/>
          <w:szCs w:val="20"/>
        </w:rPr>
        <w:t>MF</w:t>
      </w:r>
      <w:r w:rsidRPr="00AD5DB7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 Molecular Function </w:t>
      </w:r>
      <w:r w:rsidRPr="00AD5DB7">
        <w:rPr>
          <w:rFonts w:ascii="Times New Roman" w:eastAsia="宋体" w:hAnsi="Times New Roman" w:cs="Times New Roman"/>
          <w:i/>
          <w:iCs/>
          <w:color w:val="000000" w:themeColor="text1"/>
          <w:sz w:val="20"/>
          <w:szCs w:val="20"/>
        </w:rPr>
        <w:t>CC</w:t>
      </w:r>
      <w:r w:rsidRPr="00AD5DB7">
        <w:rPr>
          <w:rFonts w:ascii="Times New Roman" w:eastAsia="宋体" w:hAnsi="Times New Roman" w:cs="Times New Roman"/>
          <w:color w:val="000000" w:themeColor="text1"/>
          <w:sz w:val="20"/>
          <w:szCs w:val="20"/>
        </w:rPr>
        <w:t xml:space="preserve"> Cellular Component </w:t>
      </w:r>
    </w:p>
    <w:sectPr w:rsidR="006E043B" w:rsidRPr="00AD5D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93D64" w14:textId="77777777" w:rsidR="0078710F" w:rsidRDefault="0078710F" w:rsidP="001478BC">
      <w:r>
        <w:separator/>
      </w:r>
    </w:p>
  </w:endnote>
  <w:endnote w:type="continuationSeparator" w:id="0">
    <w:p w14:paraId="7D40E745" w14:textId="77777777" w:rsidR="0078710F" w:rsidRDefault="0078710F" w:rsidP="00147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91BE5" w14:textId="77777777" w:rsidR="0078710F" w:rsidRDefault="0078710F" w:rsidP="001478BC">
      <w:r>
        <w:separator/>
      </w:r>
    </w:p>
  </w:footnote>
  <w:footnote w:type="continuationSeparator" w:id="0">
    <w:p w14:paraId="6CDBEB45" w14:textId="77777777" w:rsidR="0078710F" w:rsidRDefault="0078710F" w:rsidP="001478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02C"/>
    <w:rsid w:val="00020839"/>
    <w:rsid w:val="00027A6C"/>
    <w:rsid w:val="000675B4"/>
    <w:rsid w:val="00072546"/>
    <w:rsid w:val="000A17A2"/>
    <w:rsid w:val="000A5AAC"/>
    <w:rsid w:val="000C7409"/>
    <w:rsid w:val="000F36CC"/>
    <w:rsid w:val="0011560A"/>
    <w:rsid w:val="00124CEC"/>
    <w:rsid w:val="00137E2E"/>
    <w:rsid w:val="00141C7E"/>
    <w:rsid w:val="001478BC"/>
    <w:rsid w:val="001975B1"/>
    <w:rsid w:val="00262DC3"/>
    <w:rsid w:val="002A514E"/>
    <w:rsid w:val="0032588E"/>
    <w:rsid w:val="003443EB"/>
    <w:rsid w:val="003B3366"/>
    <w:rsid w:val="003D0FFB"/>
    <w:rsid w:val="00427616"/>
    <w:rsid w:val="00453D48"/>
    <w:rsid w:val="00463F60"/>
    <w:rsid w:val="00482421"/>
    <w:rsid w:val="0049175F"/>
    <w:rsid w:val="004B002C"/>
    <w:rsid w:val="004F17BB"/>
    <w:rsid w:val="00526FB3"/>
    <w:rsid w:val="005501EC"/>
    <w:rsid w:val="005A0AFB"/>
    <w:rsid w:val="005F4430"/>
    <w:rsid w:val="0063749C"/>
    <w:rsid w:val="00662D7F"/>
    <w:rsid w:val="006D54C9"/>
    <w:rsid w:val="006D6B96"/>
    <w:rsid w:val="006E043B"/>
    <w:rsid w:val="006E340F"/>
    <w:rsid w:val="006F0F8E"/>
    <w:rsid w:val="006F2F01"/>
    <w:rsid w:val="0070104D"/>
    <w:rsid w:val="00702200"/>
    <w:rsid w:val="0078710F"/>
    <w:rsid w:val="007929A6"/>
    <w:rsid w:val="007C007C"/>
    <w:rsid w:val="007E1AB0"/>
    <w:rsid w:val="00820785"/>
    <w:rsid w:val="00820BB1"/>
    <w:rsid w:val="008B684C"/>
    <w:rsid w:val="008E7397"/>
    <w:rsid w:val="0090045D"/>
    <w:rsid w:val="0093689C"/>
    <w:rsid w:val="00963ABA"/>
    <w:rsid w:val="00965775"/>
    <w:rsid w:val="00996B48"/>
    <w:rsid w:val="009A2F58"/>
    <w:rsid w:val="009B4107"/>
    <w:rsid w:val="009F3019"/>
    <w:rsid w:val="00A047C1"/>
    <w:rsid w:val="00A26EFA"/>
    <w:rsid w:val="00A43AFD"/>
    <w:rsid w:val="00AD5DB7"/>
    <w:rsid w:val="00AF3295"/>
    <w:rsid w:val="00B25282"/>
    <w:rsid w:val="00B82D77"/>
    <w:rsid w:val="00BA01A3"/>
    <w:rsid w:val="00BD709F"/>
    <w:rsid w:val="00BE39BD"/>
    <w:rsid w:val="00C048CC"/>
    <w:rsid w:val="00C16DDA"/>
    <w:rsid w:val="00C7156D"/>
    <w:rsid w:val="00DA0D87"/>
    <w:rsid w:val="00E05316"/>
    <w:rsid w:val="00E34530"/>
    <w:rsid w:val="00E51D7B"/>
    <w:rsid w:val="00E64CC7"/>
    <w:rsid w:val="00E6595F"/>
    <w:rsid w:val="00E974CD"/>
    <w:rsid w:val="00EC376C"/>
    <w:rsid w:val="00F0315B"/>
    <w:rsid w:val="00F12BC3"/>
    <w:rsid w:val="00F34628"/>
    <w:rsid w:val="00F60B4A"/>
    <w:rsid w:val="00F643CD"/>
    <w:rsid w:val="00FA499C"/>
    <w:rsid w:val="00FB7B27"/>
    <w:rsid w:val="00FC575D"/>
    <w:rsid w:val="00FD1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7D4D9"/>
  <w15:chartTrackingRefBased/>
  <w15:docId w15:val="{F8413D04-82EC-4BCE-8271-8375E502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8BC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qFormat/>
    <w:rsid w:val="007C007C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78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78B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78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78BC"/>
    <w:rPr>
      <w:sz w:val="18"/>
      <w:szCs w:val="18"/>
    </w:rPr>
  </w:style>
  <w:style w:type="character" w:customStyle="1" w:styleId="10">
    <w:name w:val="标题 1 字符"/>
    <w:basedOn w:val="a0"/>
    <w:link w:val="1"/>
    <w:rsid w:val="007C007C"/>
    <w:rPr>
      <w:rFonts w:ascii="宋体" w:eastAsia="宋体" w:hAnsi="宋体" w:cs="Times New Roman"/>
      <w:b/>
      <w:bCs/>
      <w:kern w:val="44"/>
      <w:sz w:val="48"/>
      <w:szCs w:val="48"/>
    </w:rPr>
  </w:style>
  <w:style w:type="character" w:styleId="a7">
    <w:name w:val="Hyperlink"/>
    <w:basedOn w:val="a0"/>
    <w:uiPriority w:val="99"/>
    <w:semiHidden/>
    <w:unhideWhenUsed/>
    <w:rsid w:val="00AF32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265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慧宇</dc:creator>
  <cp:keywords/>
  <dc:description/>
  <cp:lastModifiedBy>12417071@qq.com</cp:lastModifiedBy>
  <cp:revision>61</cp:revision>
  <dcterms:created xsi:type="dcterms:W3CDTF">2022-05-18T13:28:00Z</dcterms:created>
  <dcterms:modified xsi:type="dcterms:W3CDTF">2022-11-03T00:51:00Z</dcterms:modified>
</cp:coreProperties>
</file>